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3EF" w:rsidRDefault="00E973EF" w:rsidP="00507C93">
      <w:pPr>
        <w:tabs>
          <w:tab w:val="left" w:pos="7305"/>
        </w:tabs>
        <w:ind w:firstLine="540"/>
        <w:jc w:val="both"/>
        <w:rPr>
          <w:b/>
          <w:sz w:val="28"/>
          <w:szCs w:val="28"/>
        </w:rPr>
      </w:pPr>
      <w:bookmarkStart w:id="0" w:name="_GoBack"/>
      <w:bookmarkEnd w:id="0"/>
    </w:p>
    <w:p w:rsidR="00E973EF" w:rsidRPr="00E92981" w:rsidRDefault="00E973EF" w:rsidP="00507C93">
      <w:pPr>
        <w:tabs>
          <w:tab w:val="left" w:pos="7305"/>
        </w:tabs>
        <w:ind w:firstLine="540"/>
        <w:jc w:val="both"/>
        <w:rPr>
          <w:b/>
          <w:sz w:val="28"/>
          <w:szCs w:val="28"/>
        </w:rPr>
      </w:pPr>
      <w:r w:rsidRPr="00E92981">
        <w:rPr>
          <w:b/>
          <w:sz w:val="28"/>
          <w:szCs w:val="28"/>
        </w:rPr>
        <w:t xml:space="preserve">Информация о лучшей муниципальной практике </w:t>
      </w:r>
      <w:r>
        <w:rPr>
          <w:b/>
          <w:sz w:val="28"/>
          <w:szCs w:val="28"/>
        </w:rPr>
        <w:t xml:space="preserve">по </w:t>
      </w:r>
      <w:r w:rsidRPr="00A07A0D">
        <w:rPr>
          <w:b/>
          <w:color w:val="000000"/>
          <w:sz w:val="28"/>
          <w:szCs w:val="28"/>
        </w:rPr>
        <w:t>вопросам содействия развитию конкуренции</w:t>
      </w:r>
      <w:r w:rsidRPr="00A07A0D">
        <w:rPr>
          <w:b/>
          <w:sz w:val="28"/>
          <w:szCs w:val="28"/>
        </w:rPr>
        <w:t xml:space="preserve">  </w:t>
      </w:r>
      <w:r w:rsidRPr="00E92981">
        <w:rPr>
          <w:b/>
          <w:sz w:val="28"/>
          <w:szCs w:val="28"/>
        </w:rPr>
        <w:t xml:space="preserve">в </w:t>
      </w:r>
      <w:r>
        <w:rPr>
          <w:b/>
          <w:sz w:val="28"/>
          <w:szCs w:val="28"/>
        </w:rPr>
        <w:t xml:space="preserve">Теньгушевском </w:t>
      </w:r>
      <w:r w:rsidRPr="00E92981">
        <w:rPr>
          <w:b/>
          <w:sz w:val="28"/>
          <w:szCs w:val="28"/>
        </w:rPr>
        <w:t>муниципальном районе</w:t>
      </w:r>
      <w:r>
        <w:rPr>
          <w:b/>
          <w:sz w:val="28"/>
          <w:szCs w:val="28"/>
        </w:rPr>
        <w:t xml:space="preserve"> в 2020 году.</w:t>
      </w:r>
      <w:r w:rsidRPr="00E92981">
        <w:rPr>
          <w:b/>
          <w:sz w:val="28"/>
          <w:szCs w:val="28"/>
        </w:rPr>
        <w:t xml:space="preserve"> </w:t>
      </w:r>
    </w:p>
    <w:p w:rsidR="00E973EF" w:rsidRDefault="00E973EF" w:rsidP="00507C93">
      <w:pPr>
        <w:tabs>
          <w:tab w:val="left" w:pos="7305"/>
        </w:tabs>
        <w:jc w:val="both"/>
        <w:rPr>
          <w:sz w:val="28"/>
          <w:szCs w:val="28"/>
        </w:rPr>
      </w:pPr>
    </w:p>
    <w:p w:rsidR="00E973EF" w:rsidRDefault="00E973EF" w:rsidP="00507C93">
      <w:pPr>
        <w:numPr>
          <w:ilvl w:val="0"/>
          <w:numId w:val="1"/>
        </w:numPr>
        <w:ind w:left="0" w:firstLine="709"/>
        <w:jc w:val="both"/>
        <w:rPr>
          <w:sz w:val="28"/>
          <w:szCs w:val="28"/>
        </w:rPr>
      </w:pPr>
      <w:r w:rsidRPr="00E433FD">
        <w:rPr>
          <w:b/>
          <w:sz w:val="28"/>
          <w:szCs w:val="28"/>
        </w:rPr>
        <w:t>Наименование субъекта РФ</w:t>
      </w:r>
      <w:r>
        <w:rPr>
          <w:sz w:val="28"/>
          <w:szCs w:val="28"/>
        </w:rPr>
        <w:t>. Республика Мордовия.</w:t>
      </w:r>
    </w:p>
    <w:p w:rsidR="00E973EF" w:rsidRDefault="00E973EF" w:rsidP="00507C93">
      <w:pPr>
        <w:numPr>
          <w:ilvl w:val="0"/>
          <w:numId w:val="1"/>
        </w:numPr>
        <w:ind w:left="0" w:firstLine="709"/>
        <w:jc w:val="both"/>
        <w:rPr>
          <w:sz w:val="28"/>
          <w:szCs w:val="28"/>
        </w:rPr>
      </w:pPr>
      <w:r>
        <w:rPr>
          <w:b/>
          <w:sz w:val="28"/>
          <w:szCs w:val="28"/>
        </w:rPr>
        <w:t>Наименование Н</w:t>
      </w:r>
      <w:r w:rsidRPr="00E433FD">
        <w:rPr>
          <w:b/>
          <w:sz w:val="28"/>
          <w:szCs w:val="28"/>
        </w:rPr>
        <w:t>ационального проекта</w:t>
      </w:r>
      <w:r>
        <w:rPr>
          <w:sz w:val="28"/>
          <w:szCs w:val="28"/>
        </w:rPr>
        <w:t>. Национальный проект «Культура» переоснащение муниципальных библиотек по модельному стандарту</w:t>
      </w:r>
    </w:p>
    <w:p w:rsidR="00E973EF" w:rsidRDefault="00E973EF" w:rsidP="00507C93">
      <w:pPr>
        <w:numPr>
          <w:ilvl w:val="0"/>
          <w:numId w:val="1"/>
        </w:numPr>
        <w:ind w:left="0" w:firstLine="709"/>
        <w:jc w:val="both"/>
        <w:rPr>
          <w:sz w:val="28"/>
          <w:szCs w:val="28"/>
        </w:rPr>
      </w:pPr>
      <w:r w:rsidRPr="00E433FD">
        <w:rPr>
          <w:b/>
          <w:sz w:val="28"/>
          <w:szCs w:val="28"/>
        </w:rPr>
        <w:t>Наименование федерального</w:t>
      </w:r>
      <w:r>
        <w:rPr>
          <w:b/>
          <w:sz w:val="28"/>
          <w:szCs w:val="28"/>
        </w:rPr>
        <w:t xml:space="preserve"> </w:t>
      </w:r>
      <w:r w:rsidRPr="00E433FD">
        <w:rPr>
          <w:b/>
          <w:sz w:val="28"/>
          <w:szCs w:val="28"/>
        </w:rPr>
        <w:t>проекта</w:t>
      </w:r>
      <w:r>
        <w:rPr>
          <w:sz w:val="28"/>
          <w:szCs w:val="28"/>
        </w:rPr>
        <w:t>. Федеральный проект «Обеспечение качественно нового уровня развития инфраструктуры культуры» («Культурная среда»).</w:t>
      </w:r>
    </w:p>
    <w:p w:rsidR="00E973EF" w:rsidRDefault="00E973EF" w:rsidP="00507C93">
      <w:pPr>
        <w:numPr>
          <w:ilvl w:val="0"/>
          <w:numId w:val="1"/>
        </w:numPr>
        <w:ind w:left="0" w:firstLine="709"/>
        <w:jc w:val="both"/>
        <w:rPr>
          <w:sz w:val="28"/>
          <w:szCs w:val="28"/>
        </w:rPr>
      </w:pPr>
      <w:r w:rsidRPr="00E433FD">
        <w:rPr>
          <w:b/>
          <w:sz w:val="28"/>
          <w:szCs w:val="28"/>
        </w:rPr>
        <w:t>Наименование регионального проекта</w:t>
      </w:r>
      <w:r>
        <w:rPr>
          <w:sz w:val="28"/>
          <w:szCs w:val="28"/>
        </w:rPr>
        <w:t>. Региональный  проект «Обеспечение качественно нового уровня развития инфраструктуры культуры» («Культурная среда»).</w:t>
      </w:r>
    </w:p>
    <w:p w:rsidR="00E973EF" w:rsidRDefault="00E973EF" w:rsidP="00507C93">
      <w:pPr>
        <w:numPr>
          <w:ilvl w:val="0"/>
          <w:numId w:val="1"/>
        </w:numPr>
        <w:ind w:left="0" w:firstLine="709"/>
        <w:jc w:val="both"/>
        <w:rPr>
          <w:sz w:val="28"/>
          <w:szCs w:val="28"/>
        </w:rPr>
      </w:pPr>
      <w:r w:rsidRPr="00E433FD">
        <w:rPr>
          <w:b/>
          <w:sz w:val="28"/>
          <w:szCs w:val="28"/>
        </w:rPr>
        <w:t>Наименование муниципального образования</w:t>
      </w:r>
      <w:r>
        <w:rPr>
          <w:sz w:val="28"/>
          <w:szCs w:val="28"/>
        </w:rPr>
        <w:t>. Теньгушевский муниципальный район Республики Мордовия.</w:t>
      </w:r>
    </w:p>
    <w:p w:rsidR="00E973EF" w:rsidRDefault="00E973EF" w:rsidP="00507C93">
      <w:pPr>
        <w:numPr>
          <w:ilvl w:val="0"/>
          <w:numId w:val="1"/>
        </w:numPr>
        <w:ind w:left="0" w:firstLine="709"/>
        <w:jc w:val="both"/>
        <w:rPr>
          <w:b/>
          <w:sz w:val="28"/>
          <w:szCs w:val="28"/>
        </w:rPr>
      </w:pPr>
      <w:r w:rsidRPr="00091F1B">
        <w:rPr>
          <w:b/>
          <w:sz w:val="28"/>
          <w:szCs w:val="28"/>
        </w:rPr>
        <w:t xml:space="preserve">Описание лучшей муниципальной практики участия в реализации регионального проекта: </w:t>
      </w:r>
    </w:p>
    <w:p w:rsidR="00E973EF" w:rsidRDefault="00E973EF" w:rsidP="00507C93">
      <w:pPr>
        <w:ind w:firstLine="709"/>
        <w:jc w:val="both"/>
        <w:rPr>
          <w:b/>
          <w:sz w:val="28"/>
          <w:szCs w:val="28"/>
        </w:rPr>
      </w:pPr>
      <w:r>
        <w:rPr>
          <w:b/>
          <w:sz w:val="28"/>
          <w:szCs w:val="28"/>
        </w:rPr>
        <w:t xml:space="preserve">6.1. </w:t>
      </w:r>
      <w:r w:rsidRPr="002F43F1">
        <w:rPr>
          <w:b/>
          <w:sz w:val="28"/>
          <w:szCs w:val="28"/>
        </w:rPr>
        <w:t>Наиме</w:t>
      </w:r>
      <w:r>
        <w:rPr>
          <w:b/>
          <w:sz w:val="28"/>
          <w:szCs w:val="28"/>
        </w:rPr>
        <w:t>нование муниципальной программы</w:t>
      </w:r>
      <w:r w:rsidRPr="002F43F1">
        <w:rPr>
          <w:b/>
          <w:sz w:val="28"/>
          <w:szCs w:val="28"/>
        </w:rPr>
        <w:t xml:space="preserve"> в целях  участия в реализации регионального проекта, реквизиты муниципального  акта об утверждении такой муниципальной программы</w:t>
      </w:r>
      <w:r>
        <w:rPr>
          <w:b/>
          <w:sz w:val="28"/>
          <w:szCs w:val="28"/>
        </w:rPr>
        <w:t>.</w:t>
      </w:r>
    </w:p>
    <w:p w:rsidR="00E973EF" w:rsidRDefault="00E973EF" w:rsidP="00507C93">
      <w:pPr>
        <w:ind w:firstLine="709"/>
        <w:jc w:val="both"/>
        <w:rPr>
          <w:sz w:val="28"/>
          <w:szCs w:val="28"/>
        </w:rPr>
      </w:pPr>
      <w:r w:rsidRPr="00E433FD">
        <w:rPr>
          <w:sz w:val="28"/>
          <w:szCs w:val="28"/>
        </w:rPr>
        <w:t xml:space="preserve">«Об  утверждении муниципальной программы «Развитие культуры и туризма </w:t>
      </w:r>
      <w:r>
        <w:rPr>
          <w:sz w:val="28"/>
          <w:szCs w:val="28"/>
        </w:rPr>
        <w:t>Теньгушевского муниципального района на 2016-2019</w:t>
      </w:r>
      <w:r w:rsidRPr="00E433FD">
        <w:rPr>
          <w:sz w:val="28"/>
          <w:szCs w:val="28"/>
        </w:rPr>
        <w:t xml:space="preserve"> годы»</w:t>
      </w:r>
      <w:r>
        <w:rPr>
          <w:sz w:val="28"/>
          <w:szCs w:val="28"/>
        </w:rPr>
        <w:t xml:space="preserve"> (в редакции  от 26 мая 2017 года № 296 </w:t>
      </w:r>
      <w:r w:rsidRPr="00E433FD">
        <w:rPr>
          <w:sz w:val="28"/>
          <w:szCs w:val="28"/>
        </w:rPr>
        <w:t>).</w:t>
      </w:r>
    </w:p>
    <w:p w:rsidR="00E973EF" w:rsidRDefault="00E973EF" w:rsidP="00507C93">
      <w:pPr>
        <w:ind w:firstLine="709"/>
        <w:jc w:val="both"/>
        <w:rPr>
          <w:sz w:val="28"/>
          <w:szCs w:val="28"/>
        </w:rPr>
      </w:pPr>
      <w:r w:rsidRPr="002F43F1">
        <w:rPr>
          <w:b/>
          <w:sz w:val="28"/>
          <w:szCs w:val="28"/>
        </w:rPr>
        <w:t>6.2.</w:t>
      </w:r>
      <w:r>
        <w:rPr>
          <w:b/>
          <w:sz w:val="28"/>
          <w:szCs w:val="28"/>
        </w:rPr>
        <w:t xml:space="preserve"> </w:t>
      </w:r>
      <w:r w:rsidRPr="002F43F1">
        <w:rPr>
          <w:b/>
          <w:sz w:val="28"/>
          <w:szCs w:val="28"/>
        </w:rPr>
        <w:t>Реквизиты  муниципального акта, закрепляющего порядок участия в реализации регионального проекта (в случае отсутствия утвержденной муниципальной программы</w:t>
      </w:r>
      <w:r>
        <w:rPr>
          <w:sz w:val="28"/>
          <w:szCs w:val="28"/>
        </w:rPr>
        <w:t>). -</w:t>
      </w:r>
    </w:p>
    <w:p w:rsidR="00E973EF" w:rsidRDefault="00E973EF" w:rsidP="00507C93">
      <w:pPr>
        <w:ind w:firstLine="709"/>
        <w:jc w:val="both"/>
        <w:rPr>
          <w:b/>
          <w:sz w:val="28"/>
          <w:szCs w:val="28"/>
        </w:rPr>
      </w:pPr>
      <w:r w:rsidRPr="00863342">
        <w:rPr>
          <w:b/>
          <w:sz w:val="28"/>
          <w:szCs w:val="28"/>
        </w:rPr>
        <w:t>6.3. Краткое описание проблемы, решение которой достигается участием  муниципального  образования в реализации регионального проекта</w:t>
      </w:r>
      <w:r>
        <w:rPr>
          <w:b/>
          <w:sz w:val="28"/>
          <w:szCs w:val="28"/>
        </w:rPr>
        <w:t>.</w:t>
      </w:r>
    </w:p>
    <w:p w:rsidR="00E973EF" w:rsidRPr="00A34EEB" w:rsidRDefault="00E973EF" w:rsidP="00F6264D">
      <w:pPr>
        <w:ind w:firstLine="567"/>
        <w:jc w:val="both"/>
        <w:rPr>
          <w:sz w:val="28"/>
        </w:rPr>
      </w:pPr>
      <w:r w:rsidRPr="00A34EEB">
        <w:rPr>
          <w:sz w:val="28"/>
        </w:rPr>
        <w:t xml:space="preserve">Теньгушевская сельская библиотека существует с 1901 года, будучи открыта как народная читальня Темниковским уездным земством, на деньги известного Российского книгоиздателя Федора Павленкова. На устройство ее тогда было израсходовано 30 рублей – это не слишком большие деньги даже по тем временам. </w:t>
      </w:r>
    </w:p>
    <w:p w:rsidR="00E973EF" w:rsidRPr="00A34EEB" w:rsidRDefault="00E973EF" w:rsidP="00F6264D">
      <w:pPr>
        <w:ind w:firstLine="567"/>
        <w:jc w:val="both"/>
        <w:rPr>
          <w:sz w:val="28"/>
        </w:rPr>
      </w:pPr>
      <w:r w:rsidRPr="00A34EEB">
        <w:rPr>
          <w:sz w:val="28"/>
        </w:rPr>
        <w:t xml:space="preserve">Но уже в 1915 году земство выделило на содержание Теньгушевской народной библиотеки 250 рублей. Надо отметить тот факт, что до революции некоторые зажиточные крестьяне имели собственные библиотеки, в каждой из которых было более сотни книг. Среди выдающихся местных книжников выделялся теньгушевец Петр Рожков, который еще до революции собрал около 1000 экземпляров книг, ставших впоследствии главной причиной того, что книголюба репрессировали в сталинское время. Количество читателей увеличивалось с каждым годом. Если в 1935 году их насчитывалось 53 человека, то уже за 4 месяца 1936 года библиотеку посещало 348 человек. В </w:t>
      </w:r>
      <w:r w:rsidRPr="00A34EEB">
        <w:rPr>
          <w:sz w:val="28"/>
        </w:rPr>
        <w:lastRenderedPageBreak/>
        <w:t xml:space="preserve">те же годы люди читали Николая Островского, Фурманова, Горького, Шолохова </w:t>
      </w:r>
    </w:p>
    <w:p w:rsidR="00E973EF" w:rsidRPr="00A34EEB" w:rsidRDefault="00E973EF" w:rsidP="00F6264D">
      <w:pPr>
        <w:ind w:firstLine="567"/>
        <w:jc w:val="both"/>
        <w:rPr>
          <w:sz w:val="28"/>
        </w:rPr>
      </w:pPr>
      <w:r w:rsidRPr="00A34EEB">
        <w:rPr>
          <w:sz w:val="28"/>
        </w:rPr>
        <w:t>В 1938 году книжный фонд в библиотеке составлял 9690 экземпляров.</w:t>
      </w:r>
    </w:p>
    <w:p w:rsidR="00E973EF" w:rsidRPr="00A34EEB" w:rsidRDefault="00E973EF" w:rsidP="00F6264D">
      <w:pPr>
        <w:ind w:firstLine="567"/>
        <w:jc w:val="both"/>
        <w:rPr>
          <w:sz w:val="28"/>
        </w:rPr>
      </w:pPr>
      <w:r w:rsidRPr="00A34EEB">
        <w:rPr>
          <w:sz w:val="28"/>
        </w:rPr>
        <w:t>В 1939 году на приобретение книг было выделено денег 15 тысяч рублей. Столько же было начислено и в 1940 году. В 1948 году книжный фонд составлял – 10731 экземпляр, а уже 1950 году – 13593 экземпляра.</w:t>
      </w:r>
    </w:p>
    <w:p w:rsidR="00E973EF" w:rsidRPr="00A34EEB" w:rsidRDefault="00E973EF" w:rsidP="00F6264D">
      <w:pPr>
        <w:ind w:firstLine="567"/>
        <w:jc w:val="both"/>
        <w:rPr>
          <w:sz w:val="28"/>
        </w:rPr>
      </w:pPr>
      <w:r w:rsidRPr="00A34EEB">
        <w:rPr>
          <w:sz w:val="28"/>
        </w:rPr>
        <w:t>В 1965 году при районной библиотеке открывается читальный зал.</w:t>
      </w:r>
    </w:p>
    <w:p w:rsidR="00E973EF" w:rsidRDefault="00E973EF" w:rsidP="00F6264D">
      <w:pPr>
        <w:ind w:firstLine="567"/>
        <w:jc w:val="both"/>
        <w:rPr>
          <w:sz w:val="28"/>
        </w:rPr>
      </w:pPr>
      <w:r w:rsidRPr="00A34EEB">
        <w:rPr>
          <w:sz w:val="28"/>
        </w:rPr>
        <w:t xml:space="preserve"> Так лишь после 1960 года, во время «хрущевской оттепели» был открыт свободный доступ к книжному фонду. В сентябре 1979 года прошла централизация всех библиотек района в единую централизованную библиотечную систему.</w:t>
      </w:r>
      <w:r>
        <w:rPr>
          <w:sz w:val="28"/>
        </w:rPr>
        <w:t xml:space="preserve"> В 1984 году библиотека переехала в новое помещение, в только что отстроенный Районный Дом культуры. Читальный зал вмещал 30 посадочных мест. Дубликатные книги находились в книгохранилище. В 2006 году в библиотеке был проведен капитальный ремонт. Но время не стоит на месте, появились технические возможности пользоваться электронными книгами. Библиотека, по праву считается нынче центром интеллектуального и культурного развития. Сегодня для современного оснащения даже сельских библиотек  нужны значительные денежные средства. Но бюджетные расходы, как и прежде, оправдывает благородная цель – повысить качество жизни сельчан путем приобщения к культуре, литературе, искусству… И лучше бы это делать в современно оборудованных читальных залах, где есть возможности оперативного доступа к электронным источникам информации, наглядной демонстрации видеоматериалов… Особая необходимость в этом бывает, когда  проводятся образовательные и патриотические мероприятия с подростками, профилактические беседы на темы морали, правопорядка, охраны здоровья от пагубных привычек с учащейся молодёжью.</w:t>
      </w:r>
    </w:p>
    <w:p w:rsidR="00E973EF" w:rsidRDefault="00E973EF" w:rsidP="00507C93">
      <w:pPr>
        <w:ind w:firstLine="709"/>
        <w:jc w:val="both"/>
        <w:rPr>
          <w:b/>
          <w:sz w:val="28"/>
          <w:szCs w:val="28"/>
        </w:rPr>
      </w:pPr>
      <w:r w:rsidRPr="002F43F1">
        <w:rPr>
          <w:b/>
          <w:sz w:val="28"/>
          <w:szCs w:val="28"/>
        </w:rPr>
        <w:t>6.</w:t>
      </w:r>
      <w:r>
        <w:rPr>
          <w:b/>
          <w:sz w:val="28"/>
          <w:szCs w:val="28"/>
        </w:rPr>
        <w:t>4</w:t>
      </w:r>
      <w:r w:rsidRPr="002F43F1">
        <w:rPr>
          <w:b/>
          <w:sz w:val="28"/>
          <w:szCs w:val="28"/>
        </w:rPr>
        <w:t>. Краткое описание  механизма  участия муниципального образования в реализации регионального проекта, основные мероприятия по обеспечению участия муниципального образования в реализации  регионального проекта</w:t>
      </w:r>
      <w:r>
        <w:rPr>
          <w:b/>
          <w:sz w:val="28"/>
          <w:szCs w:val="28"/>
        </w:rPr>
        <w:t>.</w:t>
      </w:r>
    </w:p>
    <w:p w:rsidR="00E973EF" w:rsidRPr="00F6264D" w:rsidRDefault="00E973EF" w:rsidP="00507C93">
      <w:pPr>
        <w:ind w:firstLine="709"/>
        <w:jc w:val="both"/>
        <w:rPr>
          <w:sz w:val="28"/>
          <w:szCs w:val="28"/>
        </w:rPr>
      </w:pPr>
      <w:r>
        <w:rPr>
          <w:sz w:val="28"/>
          <w:szCs w:val="28"/>
        </w:rPr>
        <w:t>Соф</w:t>
      </w:r>
      <w:r w:rsidRPr="00F6264D">
        <w:rPr>
          <w:sz w:val="28"/>
          <w:szCs w:val="28"/>
        </w:rPr>
        <w:t>инансирование из бюджета  Теньгушевского муниципального района  расходных обязательств</w:t>
      </w:r>
      <w:r>
        <w:rPr>
          <w:sz w:val="28"/>
          <w:szCs w:val="28"/>
        </w:rPr>
        <w:t xml:space="preserve"> за счет местных средств </w:t>
      </w:r>
      <w:r w:rsidRPr="00F6264D">
        <w:rPr>
          <w:sz w:val="28"/>
          <w:szCs w:val="28"/>
        </w:rPr>
        <w:t xml:space="preserve"> </w:t>
      </w:r>
      <w:r>
        <w:rPr>
          <w:sz w:val="28"/>
          <w:szCs w:val="28"/>
        </w:rPr>
        <w:t xml:space="preserve"> в размере 2,4%.</w:t>
      </w:r>
      <w:r w:rsidRPr="00F6264D">
        <w:rPr>
          <w:sz w:val="28"/>
          <w:szCs w:val="28"/>
        </w:rPr>
        <w:t xml:space="preserve"> Внебюджетные средства не привлекались.</w:t>
      </w:r>
    </w:p>
    <w:p w:rsidR="00E973EF" w:rsidRDefault="00E973EF" w:rsidP="00F6264D">
      <w:pPr>
        <w:ind w:firstLine="709"/>
        <w:jc w:val="both"/>
        <w:rPr>
          <w:sz w:val="28"/>
          <w:szCs w:val="28"/>
        </w:rPr>
      </w:pPr>
      <w:r w:rsidRPr="00CC51F5">
        <w:rPr>
          <w:b/>
          <w:sz w:val="28"/>
          <w:szCs w:val="28"/>
        </w:rPr>
        <w:t xml:space="preserve">6.5. Краткое описание механизма </w:t>
      </w:r>
      <w:r w:rsidRPr="003C6A65">
        <w:rPr>
          <w:b/>
          <w:sz w:val="28"/>
          <w:szCs w:val="28"/>
        </w:rPr>
        <w:t xml:space="preserve">вовлечения граждан в контроль за качеством реализации регионального проекта. </w:t>
      </w:r>
      <w:r>
        <w:rPr>
          <w:b/>
          <w:sz w:val="28"/>
          <w:szCs w:val="28"/>
        </w:rPr>
        <w:t xml:space="preserve"> </w:t>
      </w:r>
      <w:r w:rsidRPr="00C81EEB">
        <w:rPr>
          <w:sz w:val="28"/>
          <w:szCs w:val="28"/>
        </w:rPr>
        <w:t xml:space="preserve">Жители района имели возможность </w:t>
      </w:r>
      <w:r>
        <w:rPr>
          <w:sz w:val="28"/>
          <w:szCs w:val="28"/>
        </w:rPr>
        <w:t>ведения к</w:t>
      </w:r>
      <w:r w:rsidRPr="00C81EEB">
        <w:rPr>
          <w:sz w:val="28"/>
          <w:szCs w:val="28"/>
        </w:rPr>
        <w:t>онтрол</w:t>
      </w:r>
      <w:r>
        <w:rPr>
          <w:sz w:val="28"/>
          <w:szCs w:val="28"/>
        </w:rPr>
        <w:t>я</w:t>
      </w:r>
      <w:r w:rsidRPr="00C81EEB">
        <w:rPr>
          <w:sz w:val="28"/>
          <w:szCs w:val="28"/>
        </w:rPr>
        <w:t xml:space="preserve"> за качеством реализа</w:t>
      </w:r>
      <w:r w:rsidRPr="003C6A65">
        <w:rPr>
          <w:sz w:val="28"/>
          <w:szCs w:val="28"/>
        </w:rPr>
        <w:t xml:space="preserve">ции регионального проекта  </w:t>
      </w:r>
      <w:r>
        <w:rPr>
          <w:sz w:val="28"/>
          <w:szCs w:val="28"/>
        </w:rPr>
        <w:t xml:space="preserve"> в социальных сетях (В Контакте). Еженедельно видео и фото отчеты направлялись в Российскую Государственную библиотеку, статьи о ходе работы  регулярно публиковались в газете «Известия Мордовия» и в районной газете  «Примокшанье».</w:t>
      </w:r>
    </w:p>
    <w:p w:rsidR="00E973EF" w:rsidRDefault="00E973EF" w:rsidP="00507C93">
      <w:pPr>
        <w:ind w:firstLine="709"/>
        <w:jc w:val="both"/>
        <w:rPr>
          <w:b/>
          <w:sz w:val="28"/>
          <w:szCs w:val="28"/>
        </w:rPr>
      </w:pPr>
      <w:r w:rsidRPr="00ED17B5">
        <w:rPr>
          <w:b/>
          <w:sz w:val="28"/>
          <w:szCs w:val="28"/>
        </w:rPr>
        <w:t>6.6.  Объем планового и фактического  софинансирования мероприятий.</w:t>
      </w:r>
    </w:p>
    <w:p w:rsidR="00E973EF" w:rsidRPr="00A0654C" w:rsidRDefault="00E973EF" w:rsidP="00507C93">
      <w:pPr>
        <w:ind w:firstLine="709"/>
        <w:jc w:val="both"/>
        <w:rPr>
          <w:sz w:val="28"/>
          <w:szCs w:val="28"/>
        </w:rPr>
      </w:pPr>
      <w:r w:rsidRPr="00A0654C">
        <w:rPr>
          <w:sz w:val="28"/>
          <w:szCs w:val="28"/>
        </w:rPr>
        <w:lastRenderedPageBreak/>
        <w:t xml:space="preserve">Общий объем бюджетных ассигнований, направленных на достижение  результатов регионального  проекта по </w:t>
      </w:r>
      <w:r>
        <w:rPr>
          <w:sz w:val="28"/>
          <w:szCs w:val="28"/>
        </w:rPr>
        <w:t xml:space="preserve">переоснащению муниципальных библиотек по модельному стандарту составил 10984,0 тыс. рублей, </w:t>
      </w:r>
      <w:r w:rsidRPr="00A0654C">
        <w:rPr>
          <w:sz w:val="28"/>
          <w:szCs w:val="28"/>
        </w:rPr>
        <w:t xml:space="preserve">в том числе: ФБ – </w:t>
      </w:r>
      <w:r>
        <w:rPr>
          <w:sz w:val="28"/>
          <w:szCs w:val="28"/>
        </w:rPr>
        <w:t>10 000,00 тыс. руб. (91,04</w:t>
      </w:r>
      <w:r w:rsidRPr="00A0654C">
        <w:rPr>
          <w:sz w:val="28"/>
          <w:szCs w:val="28"/>
        </w:rPr>
        <w:t xml:space="preserve">%); РБ – </w:t>
      </w:r>
      <w:r>
        <w:rPr>
          <w:sz w:val="28"/>
          <w:szCs w:val="28"/>
        </w:rPr>
        <w:t>720,00 тыс. руб. (6,6%); МБ – 264,00 тыс. руб. (2,4%). Освоение денежных средств -100</w:t>
      </w:r>
      <w:r w:rsidRPr="00A0654C">
        <w:rPr>
          <w:sz w:val="28"/>
          <w:szCs w:val="28"/>
        </w:rPr>
        <w:t xml:space="preserve">% </w:t>
      </w:r>
      <w:r>
        <w:rPr>
          <w:sz w:val="28"/>
          <w:szCs w:val="28"/>
        </w:rPr>
        <w:t>.</w:t>
      </w:r>
    </w:p>
    <w:p w:rsidR="00E973EF" w:rsidRPr="00CC51F5" w:rsidRDefault="00E973EF" w:rsidP="00507C93">
      <w:pPr>
        <w:ind w:firstLine="709"/>
        <w:jc w:val="both"/>
        <w:rPr>
          <w:b/>
          <w:sz w:val="28"/>
          <w:szCs w:val="28"/>
        </w:rPr>
      </w:pPr>
      <w:r w:rsidRPr="00CC51F5">
        <w:rPr>
          <w:b/>
          <w:sz w:val="28"/>
          <w:szCs w:val="28"/>
        </w:rPr>
        <w:t>6.</w:t>
      </w:r>
      <w:r>
        <w:rPr>
          <w:b/>
          <w:sz w:val="28"/>
          <w:szCs w:val="28"/>
        </w:rPr>
        <w:t>7</w:t>
      </w:r>
      <w:r w:rsidRPr="00CC51F5">
        <w:rPr>
          <w:b/>
          <w:sz w:val="28"/>
          <w:szCs w:val="28"/>
        </w:rPr>
        <w:t>. Краткое описание  результатов участия муниципального  образования в р</w:t>
      </w:r>
      <w:r>
        <w:rPr>
          <w:b/>
          <w:sz w:val="28"/>
          <w:szCs w:val="28"/>
        </w:rPr>
        <w:t>еализации регионального проекта.</w:t>
      </w:r>
    </w:p>
    <w:p w:rsidR="00E973EF" w:rsidRPr="00C732AD" w:rsidRDefault="00E973EF" w:rsidP="00C732AD">
      <w:pPr>
        <w:shd w:val="clear" w:color="auto" w:fill="FFFFFF"/>
        <w:ind w:firstLine="709"/>
        <w:jc w:val="both"/>
        <w:rPr>
          <w:sz w:val="28"/>
          <w:szCs w:val="28"/>
        </w:rPr>
      </w:pPr>
      <w:r>
        <w:rPr>
          <w:sz w:val="28"/>
          <w:szCs w:val="28"/>
        </w:rPr>
        <w:t xml:space="preserve">В </w:t>
      </w:r>
      <w:r w:rsidRPr="00C732AD">
        <w:rPr>
          <w:sz w:val="28"/>
          <w:szCs w:val="28"/>
        </w:rPr>
        <w:t xml:space="preserve"> библиотеке </w:t>
      </w:r>
      <w:r>
        <w:rPr>
          <w:sz w:val="28"/>
          <w:szCs w:val="28"/>
        </w:rPr>
        <w:t>создано</w:t>
      </w:r>
      <w:r w:rsidRPr="00C732AD">
        <w:rPr>
          <w:sz w:val="28"/>
          <w:szCs w:val="28"/>
        </w:rPr>
        <w:t xml:space="preserve"> несколько новых функциональных зон.</w:t>
      </w:r>
    </w:p>
    <w:p w:rsidR="00E973EF" w:rsidRDefault="00E973EF" w:rsidP="00C732AD">
      <w:pPr>
        <w:shd w:val="clear" w:color="auto" w:fill="FFFFFF"/>
        <w:ind w:firstLine="709"/>
        <w:jc w:val="both"/>
        <w:rPr>
          <w:sz w:val="28"/>
          <w:szCs w:val="28"/>
        </w:rPr>
      </w:pPr>
      <w:r>
        <w:rPr>
          <w:sz w:val="28"/>
          <w:szCs w:val="28"/>
        </w:rPr>
        <w:t xml:space="preserve">Зона </w:t>
      </w:r>
      <w:r w:rsidRPr="00C732AD">
        <w:rPr>
          <w:sz w:val="28"/>
          <w:szCs w:val="28"/>
        </w:rPr>
        <w:t>краеведения «Родная семицветка»,</w:t>
      </w:r>
      <w:r>
        <w:rPr>
          <w:sz w:val="28"/>
          <w:szCs w:val="28"/>
        </w:rPr>
        <w:t xml:space="preserve"> </w:t>
      </w:r>
      <w:r w:rsidRPr="00C732AD">
        <w:rPr>
          <w:sz w:val="28"/>
          <w:szCs w:val="28"/>
        </w:rPr>
        <w:t>уютн</w:t>
      </w:r>
      <w:r>
        <w:rPr>
          <w:sz w:val="28"/>
          <w:szCs w:val="28"/>
        </w:rPr>
        <w:t>ная</w:t>
      </w:r>
      <w:r w:rsidRPr="00C732AD">
        <w:rPr>
          <w:sz w:val="28"/>
          <w:szCs w:val="28"/>
        </w:rPr>
        <w:t xml:space="preserve"> и светл</w:t>
      </w:r>
      <w:r>
        <w:rPr>
          <w:sz w:val="28"/>
          <w:szCs w:val="28"/>
        </w:rPr>
        <w:t>ая</w:t>
      </w:r>
      <w:r w:rsidRPr="00C732AD">
        <w:rPr>
          <w:sz w:val="28"/>
          <w:szCs w:val="28"/>
        </w:rPr>
        <w:t xml:space="preserve"> способствует более эффективному</w:t>
      </w:r>
      <w:r>
        <w:rPr>
          <w:sz w:val="28"/>
          <w:szCs w:val="28"/>
        </w:rPr>
        <w:t xml:space="preserve"> </w:t>
      </w:r>
      <w:r w:rsidRPr="00C732AD">
        <w:rPr>
          <w:sz w:val="28"/>
          <w:szCs w:val="28"/>
        </w:rPr>
        <w:t>развитию нашего национ</w:t>
      </w:r>
      <w:r>
        <w:rPr>
          <w:sz w:val="28"/>
          <w:szCs w:val="28"/>
        </w:rPr>
        <w:t xml:space="preserve">ального вязания. </w:t>
      </w:r>
      <w:r w:rsidRPr="00C732AD">
        <w:rPr>
          <w:sz w:val="28"/>
          <w:szCs w:val="28"/>
        </w:rPr>
        <w:t xml:space="preserve"> «Теньгушевская</w:t>
      </w:r>
      <w:r>
        <w:rPr>
          <w:sz w:val="28"/>
          <w:szCs w:val="28"/>
        </w:rPr>
        <w:t xml:space="preserve"> </w:t>
      </w:r>
      <w:r w:rsidRPr="00C732AD">
        <w:rPr>
          <w:sz w:val="28"/>
          <w:szCs w:val="28"/>
        </w:rPr>
        <w:t>семицветка» стала брендом не только нашего района, но и Республики</w:t>
      </w:r>
      <w:r>
        <w:rPr>
          <w:sz w:val="28"/>
          <w:szCs w:val="28"/>
        </w:rPr>
        <w:t xml:space="preserve"> </w:t>
      </w:r>
      <w:r w:rsidRPr="00C732AD">
        <w:rPr>
          <w:sz w:val="28"/>
          <w:szCs w:val="28"/>
        </w:rPr>
        <w:t xml:space="preserve">Мордовия. </w:t>
      </w:r>
    </w:p>
    <w:p w:rsidR="00E973EF" w:rsidRDefault="00E973EF" w:rsidP="00C732AD">
      <w:pPr>
        <w:shd w:val="clear" w:color="auto" w:fill="FFFFFF"/>
        <w:ind w:firstLine="709"/>
        <w:jc w:val="both"/>
        <w:rPr>
          <w:sz w:val="28"/>
          <w:szCs w:val="28"/>
        </w:rPr>
      </w:pPr>
      <w:r>
        <w:rPr>
          <w:sz w:val="28"/>
          <w:szCs w:val="28"/>
        </w:rPr>
        <w:t>Э</w:t>
      </w:r>
      <w:r w:rsidRPr="00C732AD">
        <w:rPr>
          <w:sz w:val="28"/>
          <w:szCs w:val="28"/>
        </w:rPr>
        <w:t xml:space="preserve">тнокультурный </w:t>
      </w:r>
      <w:r>
        <w:rPr>
          <w:sz w:val="28"/>
          <w:szCs w:val="28"/>
        </w:rPr>
        <w:t>х</w:t>
      </w:r>
      <w:r w:rsidRPr="00C732AD">
        <w:rPr>
          <w:sz w:val="28"/>
          <w:szCs w:val="28"/>
        </w:rPr>
        <w:t>олл</w:t>
      </w:r>
      <w:r>
        <w:rPr>
          <w:sz w:val="28"/>
          <w:szCs w:val="28"/>
        </w:rPr>
        <w:t xml:space="preserve"> </w:t>
      </w:r>
      <w:r w:rsidRPr="00C732AD">
        <w:rPr>
          <w:sz w:val="28"/>
          <w:szCs w:val="28"/>
        </w:rPr>
        <w:t>«Примокшанье»  стал центром встреч клубов по интересам, организаций</w:t>
      </w:r>
      <w:r>
        <w:rPr>
          <w:sz w:val="28"/>
          <w:szCs w:val="28"/>
        </w:rPr>
        <w:t xml:space="preserve"> </w:t>
      </w:r>
      <w:r w:rsidRPr="00C732AD">
        <w:rPr>
          <w:sz w:val="28"/>
          <w:szCs w:val="28"/>
        </w:rPr>
        <w:t>района и пользователей нашей модельной этно-библиотеки «Теньгушевская</w:t>
      </w:r>
      <w:r>
        <w:rPr>
          <w:sz w:val="28"/>
          <w:szCs w:val="28"/>
        </w:rPr>
        <w:t xml:space="preserve"> </w:t>
      </w:r>
      <w:r w:rsidRPr="00C732AD">
        <w:rPr>
          <w:sz w:val="28"/>
          <w:szCs w:val="28"/>
        </w:rPr>
        <w:t xml:space="preserve">семицветка». </w:t>
      </w:r>
    </w:p>
    <w:p w:rsidR="00E973EF" w:rsidRDefault="00E973EF" w:rsidP="00E9009D">
      <w:pPr>
        <w:shd w:val="clear" w:color="auto" w:fill="FFFFFF"/>
        <w:ind w:firstLine="709"/>
        <w:jc w:val="both"/>
        <w:rPr>
          <w:sz w:val="28"/>
          <w:szCs w:val="28"/>
        </w:rPr>
      </w:pPr>
      <w:r w:rsidRPr="00C732AD">
        <w:rPr>
          <w:sz w:val="28"/>
          <w:szCs w:val="28"/>
        </w:rPr>
        <w:t>Попадая в зону центра информационных технологий «IT-шник»</w:t>
      </w:r>
      <w:r>
        <w:rPr>
          <w:sz w:val="28"/>
          <w:szCs w:val="28"/>
        </w:rPr>
        <w:t xml:space="preserve"> </w:t>
      </w:r>
      <w:r w:rsidRPr="00C732AD">
        <w:rPr>
          <w:sz w:val="28"/>
          <w:szCs w:val="28"/>
        </w:rPr>
        <w:t>мы оказываемся в современном мире компьютерных технологий, где</w:t>
      </w:r>
      <w:r>
        <w:rPr>
          <w:sz w:val="28"/>
          <w:szCs w:val="28"/>
        </w:rPr>
        <w:t xml:space="preserve"> </w:t>
      </w:r>
      <w:r w:rsidRPr="00C732AD">
        <w:rPr>
          <w:sz w:val="28"/>
          <w:szCs w:val="28"/>
        </w:rPr>
        <w:t>расположены компьютеры, моноблоки, планшеты и специально</w:t>
      </w:r>
      <w:r>
        <w:rPr>
          <w:sz w:val="28"/>
          <w:szCs w:val="28"/>
        </w:rPr>
        <w:t xml:space="preserve"> </w:t>
      </w:r>
      <w:r w:rsidRPr="00C732AD">
        <w:rPr>
          <w:sz w:val="28"/>
          <w:szCs w:val="28"/>
        </w:rPr>
        <w:t>оборудованное место для инвалидов по зрению и слуху. Благодаря</w:t>
      </w:r>
      <w:r>
        <w:rPr>
          <w:sz w:val="28"/>
          <w:szCs w:val="28"/>
        </w:rPr>
        <w:t xml:space="preserve"> </w:t>
      </w:r>
      <w:r w:rsidRPr="00C732AD">
        <w:rPr>
          <w:sz w:val="28"/>
          <w:szCs w:val="28"/>
        </w:rPr>
        <w:t xml:space="preserve">современным технологиям </w:t>
      </w:r>
      <w:r>
        <w:rPr>
          <w:sz w:val="28"/>
          <w:szCs w:val="28"/>
        </w:rPr>
        <w:t xml:space="preserve">работники </w:t>
      </w:r>
      <w:r w:rsidRPr="00C732AD">
        <w:rPr>
          <w:sz w:val="28"/>
          <w:szCs w:val="28"/>
        </w:rPr>
        <w:t>библиотек стали больше проводить</w:t>
      </w:r>
      <w:r>
        <w:rPr>
          <w:sz w:val="28"/>
          <w:szCs w:val="28"/>
        </w:rPr>
        <w:t xml:space="preserve"> </w:t>
      </w:r>
      <w:r w:rsidRPr="00C732AD">
        <w:rPr>
          <w:sz w:val="28"/>
          <w:szCs w:val="28"/>
        </w:rPr>
        <w:t>мероприятий, в которых используются новые методы работы, такие как</w:t>
      </w:r>
      <w:r>
        <w:rPr>
          <w:sz w:val="28"/>
          <w:szCs w:val="28"/>
        </w:rPr>
        <w:t xml:space="preserve"> </w:t>
      </w:r>
      <w:r w:rsidRPr="00C732AD">
        <w:rPr>
          <w:sz w:val="28"/>
          <w:szCs w:val="28"/>
        </w:rPr>
        <w:t>знакомство старшего поколения с компьютерной техникой, свободным</w:t>
      </w:r>
      <w:r>
        <w:rPr>
          <w:sz w:val="28"/>
          <w:szCs w:val="28"/>
        </w:rPr>
        <w:t xml:space="preserve"> </w:t>
      </w:r>
      <w:r w:rsidRPr="00C732AD">
        <w:rPr>
          <w:sz w:val="28"/>
          <w:szCs w:val="28"/>
        </w:rPr>
        <w:t xml:space="preserve">выходом в интернет. </w:t>
      </w:r>
    </w:p>
    <w:p w:rsidR="00E973EF" w:rsidRDefault="00E973EF" w:rsidP="00E9009D">
      <w:pPr>
        <w:shd w:val="clear" w:color="auto" w:fill="FFFFFF"/>
        <w:ind w:firstLine="709"/>
        <w:jc w:val="both"/>
        <w:rPr>
          <w:sz w:val="28"/>
          <w:szCs w:val="28"/>
        </w:rPr>
      </w:pPr>
      <w:r>
        <w:rPr>
          <w:sz w:val="28"/>
          <w:szCs w:val="28"/>
        </w:rPr>
        <w:t xml:space="preserve"> В</w:t>
      </w:r>
      <w:r w:rsidRPr="00C732AD">
        <w:rPr>
          <w:sz w:val="28"/>
          <w:szCs w:val="28"/>
        </w:rPr>
        <w:t xml:space="preserve"> зоне отдыха «Этно-кафе» можно отдохнуть и</w:t>
      </w:r>
      <w:r>
        <w:rPr>
          <w:sz w:val="28"/>
          <w:szCs w:val="28"/>
        </w:rPr>
        <w:t xml:space="preserve"> </w:t>
      </w:r>
      <w:r w:rsidRPr="00C732AD">
        <w:rPr>
          <w:sz w:val="28"/>
          <w:szCs w:val="28"/>
        </w:rPr>
        <w:t>провести время в неформальной обстановк</w:t>
      </w:r>
      <w:r>
        <w:rPr>
          <w:sz w:val="28"/>
          <w:szCs w:val="28"/>
        </w:rPr>
        <w:t>е, в</w:t>
      </w:r>
      <w:r w:rsidRPr="00C732AD">
        <w:rPr>
          <w:sz w:val="28"/>
          <w:szCs w:val="28"/>
        </w:rPr>
        <w:t>ыпить чашечку чая или кофе,</w:t>
      </w:r>
      <w:r>
        <w:rPr>
          <w:sz w:val="28"/>
          <w:szCs w:val="28"/>
        </w:rPr>
        <w:t xml:space="preserve"> </w:t>
      </w:r>
      <w:r w:rsidRPr="00C732AD">
        <w:rPr>
          <w:sz w:val="28"/>
          <w:szCs w:val="28"/>
        </w:rPr>
        <w:t xml:space="preserve">приготовленного с помощью кофемашины. </w:t>
      </w:r>
    </w:p>
    <w:p w:rsidR="00E973EF" w:rsidRDefault="00E973EF" w:rsidP="00E9009D">
      <w:pPr>
        <w:shd w:val="clear" w:color="auto" w:fill="FFFFFF"/>
        <w:ind w:firstLine="709"/>
        <w:jc w:val="both"/>
        <w:rPr>
          <w:sz w:val="28"/>
          <w:szCs w:val="28"/>
        </w:rPr>
      </w:pPr>
      <w:r>
        <w:rPr>
          <w:sz w:val="28"/>
          <w:szCs w:val="28"/>
        </w:rPr>
        <w:t xml:space="preserve">В </w:t>
      </w:r>
      <w:r w:rsidRPr="00C732AD">
        <w:rPr>
          <w:sz w:val="28"/>
          <w:szCs w:val="28"/>
        </w:rPr>
        <w:t>кинозал</w:t>
      </w:r>
      <w:r>
        <w:rPr>
          <w:sz w:val="28"/>
          <w:szCs w:val="28"/>
        </w:rPr>
        <w:t>е</w:t>
      </w:r>
      <w:r w:rsidRPr="00C732AD">
        <w:rPr>
          <w:sz w:val="28"/>
          <w:szCs w:val="28"/>
        </w:rPr>
        <w:t xml:space="preserve"> «Книга в кадре»  находятся удобные диваны и интерактивная</w:t>
      </w:r>
      <w:r>
        <w:rPr>
          <w:sz w:val="28"/>
          <w:szCs w:val="28"/>
        </w:rPr>
        <w:t xml:space="preserve"> </w:t>
      </w:r>
      <w:r w:rsidRPr="00C732AD">
        <w:rPr>
          <w:sz w:val="28"/>
          <w:szCs w:val="28"/>
        </w:rPr>
        <w:t>панель. Именно она помогает при проведении виртуальных посещений</w:t>
      </w:r>
      <w:r>
        <w:rPr>
          <w:sz w:val="28"/>
          <w:szCs w:val="28"/>
        </w:rPr>
        <w:t xml:space="preserve"> </w:t>
      </w:r>
      <w:r w:rsidRPr="00C732AD">
        <w:rPr>
          <w:sz w:val="28"/>
          <w:szCs w:val="28"/>
        </w:rPr>
        <w:t xml:space="preserve">концертов, выставок, музеев и других уголков всего мира. </w:t>
      </w:r>
    </w:p>
    <w:p w:rsidR="00E973EF" w:rsidRDefault="00E973EF" w:rsidP="00E9009D">
      <w:pPr>
        <w:shd w:val="clear" w:color="auto" w:fill="FFFFFF"/>
        <w:ind w:firstLine="709"/>
        <w:jc w:val="both"/>
        <w:rPr>
          <w:sz w:val="28"/>
          <w:szCs w:val="28"/>
        </w:rPr>
      </w:pPr>
      <w:r w:rsidRPr="00C732AD">
        <w:rPr>
          <w:sz w:val="28"/>
          <w:szCs w:val="28"/>
        </w:rPr>
        <w:t>Если вы ходите</w:t>
      </w:r>
      <w:r>
        <w:rPr>
          <w:sz w:val="28"/>
          <w:szCs w:val="28"/>
        </w:rPr>
        <w:t xml:space="preserve"> </w:t>
      </w:r>
      <w:r w:rsidRPr="00C732AD">
        <w:rPr>
          <w:sz w:val="28"/>
          <w:szCs w:val="28"/>
        </w:rPr>
        <w:t xml:space="preserve">провести время вместе с детьми, то вам </w:t>
      </w:r>
      <w:r>
        <w:rPr>
          <w:sz w:val="28"/>
          <w:szCs w:val="28"/>
        </w:rPr>
        <w:t>можно посетить</w:t>
      </w:r>
      <w:r w:rsidRPr="00C732AD">
        <w:rPr>
          <w:sz w:val="28"/>
          <w:szCs w:val="28"/>
        </w:rPr>
        <w:t xml:space="preserve"> детский зал</w:t>
      </w:r>
      <w:r>
        <w:rPr>
          <w:sz w:val="28"/>
          <w:szCs w:val="28"/>
        </w:rPr>
        <w:t xml:space="preserve"> «Детский краевой островок». Для </w:t>
      </w:r>
      <w:r w:rsidRPr="00C732AD">
        <w:rPr>
          <w:sz w:val="28"/>
          <w:szCs w:val="28"/>
        </w:rPr>
        <w:t xml:space="preserve"> юных</w:t>
      </w:r>
      <w:r>
        <w:rPr>
          <w:sz w:val="28"/>
          <w:szCs w:val="28"/>
        </w:rPr>
        <w:t xml:space="preserve"> читателей</w:t>
      </w:r>
      <w:r w:rsidRPr="00C732AD">
        <w:rPr>
          <w:sz w:val="28"/>
          <w:szCs w:val="28"/>
        </w:rPr>
        <w:t xml:space="preserve"> </w:t>
      </w:r>
      <w:r>
        <w:rPr>
          <w:sz w:val="28"/>
          <w:szCs w:val="28"/>
        </w:rPr>
        <w:t xml:space="preserve">обустроена </w:t>
      </w:r>
      <w:r w:rsidRPr="00C732AD">
        <w:rPr>
          <w:sz w:val="28"/>
          <w:szCs w:val="28"/>
        </w:rPr>
        <w:t xml:space="preserve"> </w:t>
      </w:r>
      <w:r>
        <w:rPr>
          <w:sz w:val="28"/>
          <w:szCs w:val="28"/>
        </w:rPr>
        <w:t xml:space="preserve">уютная зона  с </w:t>
      </w:r>
      <w:r w:rsidRPr="00C732AD">
        <w:rPr>
          <w:sz w:val="28"/>
          <w:szCs w:val="28"/>
        </w:rPr>
        <w:t>удобны</w:t>
      </w:r>
      <w:r>
        <w:rPr>
          <w:sz w:val="28"/>
          <w:szCs w:val="28"/>
        </w:rPr>
        <w:t xml:space="preserve">ми </w:t>
      </w:r>
      <w:r w:rsidRPr="00C732AD">
        <w:rPr>
          <w:sz w:val="28"/>
          <w:szCs w:val="28"/>
        </w:rPr>
        <w:t xml:space="preserve"> пуфа</w:t>
      </w:r>
      <w:r>
        <w:rPr>
          <w:sz w:val="28"/>
          <w:szCs w:val="28"/>
        </w:rPr>
        <w:t>ми.</w:t>
      </w:r>
      <w:r w:rsidRPr="00C732AD">
        <w:rPr>
          <w:sz w:val="28"/>
          <w:szCs w:val="28"/>
        </w:rPr>
        <w:t xml:space="preserve"> Здесь же можно посмотреть интересные мультфильмы,</w:t>
      </w:r>
      <w:r>
        <w:rPr>
          <w:sz w:val="28"/>
          <w:szCs w:val="28"/>
        </w:rPr>
        <w:t xml:space="preserve"> </w:t>
      </w:r>
      <w:r w:rsidRPr="00C732AD">
        <w:rPr>
          <w:sz w:val="28"/>
          <w:szCs w:val="28"/>
        </w:rPr>
        <w:t>познавательные фильмы и все, что может способствовать развитию ребенка.</w:t>
      </w:r>
    </w:p>
    <w:p w:rsidR="00E973EF" w:rsidRPr="00465B59" w:rsidRDefault="00E973EF" w:rsidP="00C732AD">
      <w:pPr>
        <w:shd w:val="clear" w:color="auto" w:fill="FFFFFF"/>
        <w:jc w:val="both"/>
        <w:rPr>
          <w:b/>
          <w:color w:val="000000"/>
          <w:sz w:val="28"/>
          <w:szCs w:val="28"/>
        </w:rPr>
      </w:pPr>
      <w:r>
        <w:rPr>
          <w:b/>
          <w:color w:val="000000"/>
          <w:sz w:val="28"/>
          <w:szCs w:val="28"/>
        </w:rPr>
        <w:t xml:space="preserve">          </w:t>
      </w:r>
      <w:r w:rsidRPr="00465B59">
        <w:rPr>
          <w:b/>
          <w:color w:val="000000"/>
          <w:sz w:val="28"/>
          <w:szCs w:val="28"/>
        </w:rPr>
        <w:t>6.8. Обоснование инновационности и  (или) актуальности  лучшей муниципальной практики с точки зрения потенциала ее масштабирования.</w:t>
      </w:r>
    </w:p>
    <w:p w:rsidR="00E973EF" w:rsidRPr="00A60330" w:rsidRDefault="00E973EF" w:rsidP="00A60330">
      <w:pPr>
        <w:shd w:val="clear" w:color="auto" w:fill="FFFFFF"/>
        <w:ind w:firstLine="709"/>
        <w:jc w:val="both"/>
        <w:rPr>
          <w:sz w:val="28"/>
          <w:szCs w:val="28"/>
        </w:rPr>
      </w:pPr>
      <w:r w:rsidRPr="00A60330">
        <w:rPr>
          <w:sz w:val="28"/>
          <w:szCs w:val="28"/>
        </w:rPr>
        <w:t>Преобразование Муниципального бюджетного учреждения «Центральная районная библиотека Теньгушевского муниципального района» в «Библиотеку нового поколения» поможет жителям развивать бренд района – «Теньгушевская семицветка». Повысит туристическую привлекательность района</w:t>
      </w:r>
      <w:r>
        <w:rPr>
          <w:sz w:val="28"/>
          <w:szCs w:val="28"/>
        </w:rPr>
        <w:t xml:space="preserve">. При посещении библиотеки  </w:t>
      </w:r>
      <w:r w:rsidRPr="00A60330">
        <w:rPr>
          <w:sz w:val="28"/>
          <w:szCs w:val="28"/>
        </w:rPr>
        <w:t xml:space="preserve"> гости смогут</w:t>
      </w:r>
      <w:r>
        <w:rPr>
          <w:sz w:val="28"/>
          <w:szCs w:val="28"/>
        </w:rPr>
        <w:t xml:space="preserve"> не только полюбоваться уникальными </w:t>
      </w:r>
      <w:r w:rsidRPr="00A60330">
        <w:rPr>
          <w:sz w:val="28"/>
          <w:szCs w:val="28"/>
        </w:rPr>
        <w:t>варежк</w:t>
      </w:r>
      <w:r>
        <w:rPr>
          <w:sz w:val="28"/>
          <w:szCs w:val="28"/>
        </w:rPr>
        <w:t>ами</w:t>
      </w:r>
      <w:r w:rsidRPr="00A60330">
        <w:rPr>
          <w:sz w:val="28"/>
          <w:szCs w:val="28"/>
        </w:rPr>
        <w:t xml:space="preserve"> или гетр</w:t>
      </w:r>
      <w:r>
        <w:rPr>
          <w:sz w:val="28"/>
          <w:szCs w:val="28"/>
        </w:rPr>
        <w:t>ами,</w:t>
      </w:r>
      <w:r w:rsidRPr="00A60330">
        <w:rPr>
          <w:sz w:val="28"/>
          <w:szCs w:val="28"/>
        </w:rPr>
        <w:t xml:space="preserve"> связанны</w:t>
      </w:r>
      <w:r>
        <w:rPr>
          <w:sz w:val="28"/>
          <w:szCs w:val="28"/>
        </w:rPr>
        <w:t>ми</w:t>
      </w:r>
      <w:r w:rsidRPr="00A60330">
        <w:rPr>
          <w:sz w:val="28"/>
          <w:szCs w:val="28"/>
        </w:rPr>
        <w:t xml:space="preserve"> умельцами села</w:t>
      </w:r>
      <w:r>
        <w:rPr>
          <w:sz w:val="28"/>
          <w:szCs w:val="28"/>
        </w:rPr>
        <w:t xml:space="preserve">, но и </w:t>
      </w:r>
      <w:r w:rsidRPr="00A60330">
        <w:rPr>
          <w:sz w:val="28"/>
          <w:szCs w:val="28"/>
        </w:rPr>
        <w:t>увести</w:t>
      </w:r>
      <w:r>
        <w:rPr>
          <w:sz w:val="28"/>
          <w:szCs w:val="28"/>
        </w:rPr>
        <w:t xml:space="preserve"> их </w:t>
      </w:r>
      <w:r w:rsidRPr="00A60330">
        <w:rPr>
          <w:sz w:val="28"/>
          <w:szCs w:val="28"/>
        </w:rPr>
        <w:t xml:space="preserve"> с собой на память в виде сувенира</w:t>
      </w:r>
      <w:r>
        <w:rPr>
          <w:sz w:val="28"/>
          <w:szCs w:val="28"/>
        </w:rPr>
        <w:t>.</w:t>
      </w:r>
      <w:r w:rsidRPr="00A60330">
        <w:rPr>
          <w:sz w:val="28"/>
          <w:szCs w:val="28"/>
        </w:rPr>
        <w:t xml:space="preserve"> </w:t>
      </w:r>
    </w:p>
    <w:p w:rsidR="00E973EF" w:rsidRPr="00A60330" w:rsidRDefault="00E973EF" w:rsidP="00A60330">
      <w:pPr>
        <w:shd w:val="clear" w:color="auto" w:fill="FFFFFF"/>
        <w:ind w:firstLine="709"/>
        <w:jc w:val="both"/>
        <w:rPr>
          <w:sz w:val="28"/>
          <w:szCs w:val="28"/>
        </w:rPr>
      </w:pPr>
      <w:r w:rsidRPr="00A60330">
        <w:rPr>
          <w:sz w:val="28"/>
          <w:szCs w:val="28"/>
        </w:rPr>
        <w:lastRenderedPageBreak/>
        <w:t>Новые методы и формы работы сотрудников «Библиотеки нового поколения» разнообразят досуг населения. Жители района могут приходить в библиотеку и проводить время, принимая участия в квестах, мастер-классах, посещать занятия клубов по интересам и т. д. С помощью инновационных технологий пользователи библиотеки прик</w:t>
      </w:r>
      <w:r>
        <w:rPr>
          <w:sz w:val="28"/>
          <w:szCs w:val="28"/>
        </w:rPr>
        <w:t xml:space="preserve">асаются </w:t>
      </w:r>
      <w:r w:rsidRPr="00A60330">
        <w:rPr>
          <w:sz w:val="28"/>
          <w:szCs w:val="28"/>
        </w:rPr>
        <w:t xml:space="preserve"> к культурным ценностям не только Республики Мордовия, но и всего мира.</w:t>
      </w:r>
    </w:p>
    <w:p w:rsidR="00E973EF" w:rsidRPr="00A60330" w:rsidRDefault="00E973EF" w:rsidP="00A60330">
      <w:pPr>
        <w:shd w:val="clear" w:color="auto" w:fill="FFFFFF"/>
        <w:ind w:firstLine="709"/>
        <w:jc w:val="both"/>
        <w:rPr>
          <w:sz w:val="28"/>
          <w:szCs w:val="28"/>
        </w:rPr>
      </w:pPr>
      <w:r w:rsidRPr="00A60330">
        <w:rPr>
          <w:sz w:val="28"/>
          <w:szCs w:val="28"/>
        </w:rPr>
        <w:t>Надежными партнерами библиотеки ста</w:t>
      </w:r>
      <w:r>
        <w:rPr>
          <w:sz w:val="28"/>
          <w:szCs w:val="28"/>
        </w:rPr>
        <w:t xml:space="preserve">ли  </w:t>
      </w:r>
      <w:r w:rsidRPr="00A60330">
        <w:rPr>
          <w:sz w:val="28"/>
          <w:szCs w:val="28"/>
        </w:rPr>
        <w:t>предприятия и организации района. Совместно с ними, про</w:t>
      </w:r>
      <w:r>
        <w:rPr>
          <w:sz w:val="28"/>
          <w:szCs w:val="28"/>
        </w:rPr>
        <w:t>водятся</w:t>
      </w:r>
      <w:r w:rsidRPr="00A60330">
        <w:rPr>
          <w:sz w:val="28"/>
          <w:szCs w:val="28"/>
        </w:rPr>
        <w:t xml:space="preserve"> мероприятия, в которых работники наших партнеров </w:t>
      </w:r>
      <w:r>
        <w:rPr>
          <w:sz w:val="28"/>
          <w:szCs w:val="28"/>
        </w:rPr>
        <w:t xml:space="preserve"> </w:t>
      </w:r>
      <w:r w:rsidRPr="00A60330">
        <w:rPr>
          <w:sz w:val="28"/>
          <w:szCs w:val="28"/>
        </w:rPr>
        <w:t>принима</w:t>
      </w:r>
      <w:r>
        <w:rPr>
          <w:sz w:val="28"/>
          <w:szCs w:val="28"/>
        </w:rPr>
        <w:t>ют</w:t>
      </w:r>
      <w:r w:rsidRPr="00A60330">
        <w:rPr>
          <w:sz w:val="28"/>
          <w:szCs w:val="28"/>
        </w:rPr>
        <w:t xml:space="preserve"> активное участие.</w:t>
      </w:r>
    </w:p>
    <w:p w:rsidR="00E973EF" w:rsidRDefault="00E973EF" w:rsidP="00A60330">
      <w:pPr>
        <w:shd w:val="clear" w:color="auto" w:fill="FFFFFF"/>
        <w:ind w:firstLine="709"/>
        <w:jc w:val="both"/>
        <w:rPr>
          <w:sz w:val="28"/>
          <w:szCs w:val="28"/>
        </w:rPr>
      </w:pPr>
      <w:r w:rsidRPr="00A60330">
        <w:rPr>
          <w:sz w:val="28"/>
          <w:szCs w:val="28"/>
        </w:rPr>
        <w:t>Надежными партнерами Муниципального бюджетного учреждения «Центральная районная библиотека Теньгушевского муниципального района» ста</w:t>
      </w:r>
      <w:r>
        <w:rPr>
          <w:sz w:val="28"/>
          <w:szCs w:val="28"/>
        </w:rPr>
        <w:t>ли</w:t>
      </w:r>
      <w:r w:rsidRPr="00A60330">
        <w:rPr>
          <w:sz w:val="28"/>
          <w:szCs w:val="28"/>
        </w:rPr>
        <w:t>:</w:t>
      </w:r>
      <w:r>
        <w:rPr>
          <w:sz w:val="28"/>
          <w:szCs w:val="28"/>
        </w:rPr>
        <w:t xml:space="preserve"> образовательные учреждения Теньгушевского муниципального района,</w:t>
      </w:r>
      <w:r w:rsidRPr="00A60330">
        <w:rPr>
          <w:sz w:val="28"/>
          <w:szCs w:val="28"/>
        </w:rPr>
        <w:t xml:space="preserve"> МБДОУ ГБУ «Теньгушевская РСББЖ», Теньгушевский отдел ЗАГС, производственные объединения – ООО ТД «Теньгушево»,   ГУ Сельлесхоз «Теньгушевский» и т</w:t>
      </w:r>
      <w:r>
        <w:rPr>
          <w:sz w:val="28"/>
          <w:szCs w:val="28"/>
        </w:rPr>
        <w:t>.</w:t>
      </w:r>
      <w:r w:rsidRPr="00A60330">
        <w:rPr>
          <w:sz w:val="28"/>
          <w:szCs w:val="28"/>
        </w:rPr>
        <w:t>д.</w:t>
      </w:r>
    </w:p>
    <w:p w:rsidR="00E973EF" w:rsidRDefault="00E973EF" w:rsidP="00A60330">
      <w:pPr>
        <w:shd w:val="clear" w:color="auto" w:fill="FFFFFF"/>
        <w:jc w:val="both"/>
        <w:rPr>
          <w:b/>
          <w:sz w:val="28"/>
          <w:szCs w:val="28"/>
        </w:rPr>
      </w:pPr>
      <w:r>
        <w:rPr>
          <w:b/>
          <w:sz w:val="28"/>
          <w:szCs w:val="28"/>
        </w:rPr>
        <w:t xml:space="preserve">          6.9. Осуществление в процессе участия муниципального образования в реализации регионального проекта мероприятий, дополняющих (по форме и содержанию) формы и содержания мероприятий собственно регионального проекта (их краткое описание).</w:t>
      </w:r>
    </w:p>
    <w:p w:rsidR="00E973EF" w:rsidRPr="00A60330" w:rsidRDefault="00E973EF" w:rsidP="00ED34DD">
      <w:pPr>
        <w:shd w:val="clear" w:color="auto" w:fill="FFFFFF"/>
        <w:ind w:firstLine="567"/>
        <w:jc w:val="both"/>
        <w:rPr>
          <w:color w:val="000000"/>
          <w:sz w:val="28"/>
          <w:szCs w:val="28"/>
        </w:rPr>
      </w:pPr>
      <w:r>
        <w:rPr>
          <w:sz w:val="28"/>
          <w:szCs w:val="28"/>
        </w:rPr>
        <w:t>Гарантия по обновлению книжного фонда в разрезе трех лет (2020-2022 годы), оплата услуг связи («Ростелеком»), оплата закупки печатных изданий.</w:t>
      </w:r>
    </w:p>
    <w:p w:rsidR="00E973EF" w:rsidRPr="00CA6E1E" w:rsidRDefault="00E973EF" w:rsidP="00507C93">
      <w:pPr>
        <w:shd w:val="clear" w:color="auto" w:fill="FFFFFF"/>
        <w:ind w:firstLine="709"/>
        <w:jc w:val="both"/>
        <w:rPr>
          <w:b/>
          <w:color w:val="000000"/>
          <w:sz w:val="28"/>
          <w:szCs w:val="28"/>
        </w:rPr>
      </w:pPr>
    </w:p>
    <w:p w:rsidR="00E973EF" w:rsidRPr="002F43F1" w:rsidRDefault="00E973EF" w:rsidP="00507C93">
      <w:pPr>
        <w:ind w:firstLine="709"/>
        <w:jc w:val="both"/>
        <w:rPr>
          <w:b/>
          <w:sz w:val="28"/>
          <w:szCs w:val="28"/>
        </w:rPr>
      </w:pPr>
    </w:p>
    <w:p w:rsidR="00E973EF" w:rsidRPr="002F43F1" w:rsidRDefault="00E973EF" w:rsidP="00507C93">
      <w:pPr>
        <w:ind w:firstLine="709"/>
        <w:jc w:val="both"/>
        <w:rPr>
          <w:sz w:val="28"/>
          <w:szCs w:val="28"/>
        </w:rPr>
      </w:pPr>
    </w:p>
    <w:p w:rsidR="00E973EF" w:rsidRDefault="00E973EF" w:rsidP="00507C93">
      <w:pPr>
        <w:ind w:firstLine="709"/>
        <w:jc w:val="both"/>
      </w:pPr>
    </w:p>
    <w:sectPr w:rsidR="00E973EF" w:rsidSect="00507C93">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3EF" w:rsidRDefault="00E973EF" w:rsidP="00507C93">
      <w:r>
        <w:separator/>
      </w:r>
    </w:p>
  </w:endnote>
  <w:endnote w:type="continuationSeparator" w:id="0">
    <w:p w:rsidR="00E973EF" w:rsidRDefault="00E973EF" w:rsidP="00507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3EF" w:rsidRDefault="00E973EF" w:rsidP="00507C93">
      <w:r>
        <w:separator/>
      </w:r>
    </w:p>
  </w:footnote>
  <w:footnote w:type="continuationSeparator" w:id="0">
    <w:p w:rsidR="00E973EF" w:rsidRDefault="00E973EF" w:rsidP="00507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3EF" w:rsidRDefault="00DA046C">
    <w:pPr>
      <w:pStyle w:val="a3"/>
      <w:jc w:val="right"/>
    </w:pPr>
    <w:r>
      <w:fldChar w:fldCharType="begin"/>
    </w:r>
    <w:r>
      <w:instrText xml:space="preserve"> PAGE   \* MERGEFORMAT </w:instrText>
    </w:r>
    <w:r>
      <w:fldChar w:fldCharType="separate"/>
    </w:r>
    <w:r w:rsidR="00E973EF">
      <w:rPr>
        <w:noProof/>
      </w:rPr>
      <w:t>4</w:t>
    </w:r>
    <w:r>
      <w:rPr>
        <w:noProof/>
      </w:rPr>
      <w:fldChar w:fldCharType="end"/>
    </w:r>
  </w:p>
  <w:p w:rsidR="00E973EF" w:rsidRDefault="00E973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BC5303"/>
    <w:multiLevelType w:val="multilevel"/>
    <w:tmpl w:val="4DDC4028"/>
    <w:lvl w:ilvl="0">
      <w:start w:val="1"/>
      <w:numFmt w:val="decimal"/>
      <w:lvlText w:val="%1."/>
      <w:lvlJc w:val="left"/>
      <w:pPr>
        <w:ind w:left="786" w:hanging="360"/>
      </w:pPr>
      <w:rPr>
        <w:rFonts w:cs="Times New Roman" w:hint="default"/>
        <w:b/>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93"/>
    <w:rsid w:val="00015330"/>
    <w:rsid w:val="00045BCC"/>
    <w:rsid w:val="00091F1B"/>
    <w:rsid w:val="00232956"/>
    <w:rsid w:val="002F43F1"/>
    <w:rsid w:val="003753EC"/>
    <w:rsid w:val="003A3946"/>
    <w:rsid w:val="003C6A65"/>
    <w:rsid w:val="00465B59"/>
    <w:rsid w:val="004E07D3"/>
    <w:rsid w:val="00500E38"/>
    <w:rsid w:val="00507C93"/>
    <w:rsid w:val="00550F97"/>
    <w:rsid w:val="00594845"/>
    <w:rsid w:val="005F3C52"/>
    <w:rsid w:val="00633FBA"/>
    <w:rsid w:val="006B136B"/>
    <w:rsid w:val="00731A5E"/>
    <w:rsid w:val="00750182"/>
    <w:rsid w:val="00777C9A"/>
    <w:rsid w:val="0078795F"/>
    <w:rsid w:val="007968C0"/>
    <w:rsid w:val="008219F7"/>
    <w:rsid w:val="00863342"/>
    <w:rsid w:val="008B51E3"/>
    <w:rsid w:val="0090011F"/>
    <w:rsid w:val="009258F0"/>
    <w:rsid w:val="00975B99"/>
    <w:rsid w:val="009C57B7"/>
    <w:rsid w:val="00A0654C"/>
    <w:rsid w:val="00A073A9"/>
    <w:rsid w:val="00A07A0D"/>
    <w:rsid w:val="00A24045"/>
    <w:rsid w:val="00A24988"/>
    <w:rsid w:val="00A34EEB"/>
    <w:rsid w:val="00A60330"/>
    <w:rsid w:val="00B27BD8"/>
    <w:rsid w:val="00B41CB4"/>
    <w:rsid w:val="00B53EE1"/>
    <w:rsid w:val="00BC63A1"/>
    <w:rsid w:val="00C732AD"/>
    <w:rsid w:val="00C81EEB"/>
    <w:rsid w:val="00CA6E1E"/>
    <w:rsid w:val="00CC51F5"/>
    <w:rsid w:val="00E433FD"/>
    <w:rsid w:val="00E532DA"/>
    <w:rsid w:val="00E9009D"/>
    <w:rsid w:val="00E903B7"/>
    <w:rsid w:val="00E92981"/>
    <w:rsid w:val="00E973EF"/>
    <w:rsid w:val="00ED17B5"/>
    <w:rsid w:val="00ED34DD"/>
    <w:rsid w:val="00F62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04654AF-AEA7-4678-BE1D-9CA41657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7C9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07C93"/>
    <w:pPr>
      <w:tabs>
        <w:tab w:val="center" w:pos="4677"/>
        <w:tab w:val="right" w:pos="9355"/>
      </w:tabs>
    </w:pPr>
  </w:style>
  <w:style w:type="character" w:customStyle="1" w:styleId="a4">
    <w:name w:val="Верхний колонтитул Знак"/>
    <w:basedOn w:val="a0"/>
    <w:link w:val="a3"/>
    <w:uiPriority w:val="99"/>
    <w:locked/>
    <w:rsid w:val="00507C93"/>
    <w:rPr>
      <w:rFonts w:ascii="Times New Roman" w:hAnsi="Times New Roman" w:cs="Times New Roman"/>
      <w:sz w:val="24"/>
      <w:szCs w:val="24"/>
      <w:lang w:eastAsia="ru-RU"/>
    </w:rPr>
  </w:style>
  <w:style w:type="paragraph" w:styleId="a5">
    <w:name w:val="footer"/>
    <w:basedOn w:val="a"/>
    <w:link w:val="a6"/>
    <w:uiPriority w:val="99"/>
    <w:semiHidden/>
    <w:rsid w:val="00507C93"/>
    <w:pPr>
      <w:tabs>
        <w:tab w:val="center" w:pos="4677"/>
        <w:tab w:val="right" w:pos="9355"/>
      </w:tabs>
    </w:pPr>
  </w:style>
  <w:style w:type="character" w:customStyle="1" w:styleId="a6">
    <w:name w:val="Нижний колонтитул Знак"/>
    <w:basedOn w:val="a0"/>
    <w:link w:val="a5"/>
    <w:uiPriority w:val="99"/>
    <w:semiHidden/>
    <w:locked/>
    <w:rsid w:val="00507C93"/>
    <w:rPr>
      <w:rFonts w:ascii="Times New Roman" w:hAnsi="Times New Roman" w:cs="Times New Roman"/>
      <w:sz w:val="24"/>
      <w:szCs w:val="24"/>
      <w:lang w:eastAsia="ru-RU"/>
    </w:rPr>
  </w:style>
  <w:style w:type="paragraph" w:styleId="a7">
    <w:name w:val="List Paragraph"/>
    <w:basedOn w:val="a"/>
    <w:uiPriority w:val="99"/>
    <w:qFormat/>
    <w:rsid w:val="00C73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1323</Words>
  <Characters>7547</Characters>
  <Application>Microsoft Office Word</Application>
  <DocSecurity>0</DocSecurity>
  <Lines>62</Lines>
  <Paragraphs>17</Paragraphs>
  <ScaleCrop>false</ScaleCrop>
  <Company>Министерство экономики РМ</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Dadykina</dc:creator>
  <cp:keywords/>
  <dc:description/>
  <cp:lastModifiedBy>Наиаша</cp:lastModifiedBy>
  <cp:revision>2</cp:revision>
  <dcterms:created xsi:type="dcterms:W3CDTF">2023-10-27T13:31:00Z</dcterms:created>
  <dcterms:modified xsi:type="dcterms:W3CDTF">2023-10-27T13:31:00Z</dcterms:modified>
</cp:coreProperties>
</file>